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R4-2409622</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requirements for NTN SAN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 xml:space="preserve">In the RAN#102 meeting, </w:t>
      </w:r>
      <w:r>
        <w:rPr>
          <w:rFonts w:hint="eastAsia"/>
          <w:sz w:val="20"/>
          <w:szCs w:val="20"/>
          <w:lang w:val="en-US" w:eastAsia="zh-CN"/>
        </w:rPr>
        <w:t>New WID: Non-Terrestrial Networks (NTN) for NR Phase 3</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initial views on RF requirements for regenerative NTN SAN.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0000" w:themeColor="text1"/>
                <w:lang w:eastAsia="zh-CN"/>
                <w14:textFill>
                  <w14:solidFill>
                    <w14:schemeClr w14:val="tx1"/>
                  </w14:solidFill>
                </w14:textFill>
              </w:rPr>
            </w:pPr>
            <w:r>
              <w:rPr>
                <w:rFonts w:hint="default"/>
                <w:b/>
                <w:color w:val="000000" w:themeColor="text1"/>
                <w:u w:val="single"/>
                <w:lang w:eastAsia="ko-KR"/>
                <w14:textFill>
                  <w14:solidFill>
                    <w14:schemeClr w14:val="tx1"/>
                  </w14:solidFill>
                </w14:textFill>
              </w:rPr>
              <w:t>Issue 1-1-1:</w:t>
            </w:r>
            <w:r>
              <w:rPr>
                <w:rFonts w:hint="default"/>
                <w:b/>
                <w:color w:val="000000" w:themeColor="text1"/>
                <w:lang w:eastAsia="ko-KR"/>
                <w14:textFill>
                  <w14:solidFill>
                    <w14:schemeClr w14:val="tx1"/>
                  </w14:solidFill>
                </w14:textFill>
              </w:rPr>
              <w:t xml:space="preserve"> </w:t>
            </w:r>
            <w:r>
              <w:rPr>
                <w:rFonts w:hint="default"/>
                <w:b/>
                <w:color w:val="000000" w:themeColor="text1"/>
                <w:lang w:eastAsia="zh-CN"/>
                <w14:textFill>
                  <w14:solidFill>
                    <w14:schemeClr w14:val="tx1"/>
                  </w14:solidFill>
                </w14:textFill>
              </w:rPr>
              <w:t>RedCap</w:t>
            </w:r>
          </w:p>
          <w:p>
            <w:pPr>
              <w:keepNext w:val="0"/>
              <w:keepLines w:val="0"/>
              <w:suppressLineNumbers w:val="0"/>
              <w:spacing w:before="0" w:beforeAutospacing="0" w:afterAutospacing="0"/>
              <w:ind w:left="0" w:right="0"/>
              <w:rPr>
                <w:rFonts w:hint="default"/>
                <w:color w:val="000000" w:themeColor="text1"/>
                <w14:textFill>
                  <w14:solidFill>
                    <w14:schemeClr w14:val="tx1"/>
                  </w14:solidFill>
                </w14:textFill>
              </w:rPr>
            </w:pPr>
            <w:r>
              <w:rPr>
                <w:rFonts w:hint="default"/>
                <w:b/>
                <w:bCs/>
                <w:color w:val="000000" w:themeColor="text1"/>
                <w14:textFill>
                  <w14:solidFill>
                    <w14:schemeClr w14:val="tx1"/>
                  </w14:solidFill>
                </w14:textFill>
              </w:rPr>
              <w:t>Agreement:</w:t>
            </w:r>
            <w:r>
              <w:rPr>
                <w:rFonts w:hint="default"/>
                <w:color w:val="000000" w:themeColor="text1"/>
                <w14:textFill>
                  <w14:solidFill>
                    <w14:schemeClr w14:val="tx1"/>
                  </w14:solidFill>
                </w14:textFill>
              </w:rPr>
              <w:t xml:space="preserve"> No SAN RF requirements impact due to introduction of Redcap.</w:t>
            </w:r>
          </w:p>
          <w:p>
            <w:pPr>
              <w:keepNext w:val="0"/>
              <w:keepLines w:val="0"/>
              <w:suppressLineNumbers w:val="0"/>
              <w:spacing w:before="0" w:beforeAutospacing="0" w:afterAutospacing="0"/>
              <w:ind w:left="0" w:right="0"/>
              <w:rPr>
                <w:rFonts w:hint="default"/>
                <w:color w:val="000000" w:themeColor="text1"/>
                <w14:textFill>
                  <w14:solidFill>
                    <w14:schemeClr w14:val="tx1"/>
                  </w14:solidFill>
                </w14:textFill>
              </w:rPr>
            </w:pPr>
          </w:p>
          <w:p>
            <w:pPr>
              <w:keepNext w:val="0"/>
              <w:keepLines w:val="0"/>
              <w:suppressLineNumbers w:val="0"/>
              <w:spacing w:before="0" w:beforeAutospacing="0" w:afterAutospacing="0"/>
              <w:ind w:left="0" w:right="0"/>
              <w:rPr>
                <w:rFonts w:hint="default"/>
                <w:b/>
                <w:color w:val="000000" w:themeColor="text1"/>
                <w14:textFill>
                  <w14:solidFill>
                    <w14:schemeClr w14:val="tx1"/>
                  </w14:solidFill>
                </w14:textFill>
              </w:rPr>
            </w:pPr>
            <w:r>
              <w:rPr>
                <w:rFonts w:hint="default"/>
                <w:b/>
                <w:color w:val="000000" w:themeColor="text1"/>
                <w:u w:val="single"/>
                <w:lang w:eastAsia="ko-KR"/>
                <w14:textFill>
                  <w14:solidFill>
                    <w14:schemeClr w14:val="tx1"/>
                  </w14:solidFill>
                </w14:textFill>
              </w:rPr>
              <w:t>Issue 1-2-1:</w:t>
            </w:r>
            <w:r>
              <w:rPr>
                <w:rFonts w:hint="default"/>
                <w:b/>
                <w:color w:val="000000" w:themeColor="text1"/>
                <w:lang w:eastAsia="ko-KR"/>
                <w14:textFill>
                  <w14:solidFill>
                    <w14:schemeClr w14:val="tx1"/>
                  </w14:solidFill>
                </w14:textFill>
              </w:rPr>
              <w:t xml:space="preserve"> </w:t>
            </w:r>
            <w:r>
              <w:rPr>
                <w:rFonts w:hint="default"/>
                <w:b/>
                <w:color w:val="000000" w:themeColor="text1"/>
                <w14:textFill>
                  <w14:solidFill>
                    <w14:schemeClr w14:val="tx1"/>
                  </w14:solidFill>
                </w14:textFill>
              </w:rPr>
              <w:t>Figures for regenerative payload</w:t>
            </w:r>
          </w:p>
          <w:p>
            <w:pPr>
              <w:keepNext w:val="0"/>
              <w:keepLines w:val="0"/>
              <w:suppressLineNumbers w:val="0"/>
              <w:spacing w:before="0" w:beforeAutospacing="0" w:afterAutospacing="0"/>
              <w:ind w:left="0" w:right="0"/>
              <w:rPr>
                <w:rFonts w:hint="default"/>
                <w:bCs/>
                <w:color w:val="000000" w:themeColor="text1"/>
                <w:lang w:eastAsia="ko-KR"/>
                <w14:textFill>
                  <w14:solidFill>
                    <w14:schemeClr w14:val="tx1"/>
                  </w14:solidFill>
                </w14:textFill>
              </w:rPr>
            </w:pPr>
            <w:r>
              <w:rPr>
                <w:rFonts w:hint="default"/>
                <w:b/>
                <w:color w:val="000000" w:themeColor="text1"/>
                <w14:textFill>
                  <w14:solidFill>
                    <w14:schemeClr w14:val="tx1"/>
                  </w14:solidFill>
                </w14:textFill>
              </w:rPr>
              <w:t>Agreement:</w:t>
            </w:r>
            <w:r>
              <w:rPr>
                <w:rFonts w:hint="default"/>
                <w:bCs/>
                <w:color w:val="000000" w:themeColor="text1"/>
                <w14:textFill>
                  <w14:solidFill>
                    <w14:schemeClr w14:val="tx1"/>
                  </w14:solidFill>
                </w14:textFill>
              </w:rPr>
              <w:t xml:space="preserve"> Reuse current diagrams, clarifications may be needed.</w:t>
            </w:r>
          </w:p>
          <w:p>
            <w:pPr>
              <w:keepNext w:val="0"/>
              <w:keepLines w:val="0"/>
              <w:suppressLineNumbers w:val="0"/>
              <w:spacing w:before="0" w:beforeAutospacing="0" w:afterAutospacing="0"/>
              <w:ind w:left="0" w:right="0"/>
              <w:rPr>
                <w:rFonts w:hint="default"/>
                <w:b/>
                <w:color w:val="000000" w:themeColor="text1"/>
                <w:lang w:eastAsia="ko-KR"/>
                <w14:textFill>
                  <w14:solidFill>
                    <w14:schemeClr w14:val="tx1"/>
                  </w14:solidFill>
                </w14:textFill>
              </w:rPr>
            </w:pPr>
          </w:p>
          <w:p>
            <w:pPr>
              <w:keepNext w:val="0"/>
              <w:keepLines w:val="0"/>
              <w:suppressLineNumbers w:val="0"/>
              <w:spacing w:before="0" w:beforeAutospacing="0" w:afterAutospacing="0"/>
              <w:ind w:left="0" w:right="0"/>
              <w:rPr>
                <w:rFonts w:hint="default"/>
                <w:b/>
                <w:color w:val="000000" w:themeColor="text1"/>
                <w:lang w:eastAsia="ko-KR"/>
                <w14:textFill>
                  <w14:solidFill>
                    <w14:schemeClr w14:val="tx1"/>
                  </w14:solidFill>
                </w14:textFill>
              </w:rPr>
            </w:pPr>
            <w:r>
              <w:rPr>
                <w:rFonts w:hint="default"/>
                <w:b/>
                <w:color w:val="000000" w:themeColor="text1"/>
                <w:u w:val="single"/>
                <w:lang w:eastAsia="ko-KR"/>
                <w14:textFill>
                  <w14:solidFill>
                    <w14:schemeClr w14:val="tx1"/>
                  </w14:solidFill>
                </w14:textFill>
              </w:rPr>
              <w:t>Issue 1-2-2:</w:t>
            </w:r>
            <w:r>
              <w:rPr>
                <w:rFonts w:hint="default"/>
                <w:b/>
                <w:color w:val="000000" w:themeColor="text1"/>
                <w:lang w:eastAsia="ko-KR"/>
                <w14:textFill>
                  <w14:solidFill>
                    <w14:schemeClr w14:val="tx1"/>
                  </w14:solidFill>
                </w14:textFill>
              </w:rPr>
              <w:t xml:space="preserve"> </w:t>
            </w:r>
            <w:r>
              <w:rPr>
                <w:rFonts w:hint="default"/>
                <w:b/>
                <w:color w:val="000000" w:themeColor="text1"/>
                <w14:textFill>
                  <w14:solidFill>
                    <w14:schemeClr w14:val="tx1"/>
                  </w14:solidFill>
                </w14:textFill>
              </w:rPr>
              <w:t>Regenerative payload specification in RAN4</w:t>
            </w:r>
          </w:p>
          <w:p>
            <w:pPr>
              <w:keepNext w:val="0"/>
              <w:keepLines w:val="0"/>
              <w:suppressLineNumbers w:val="0"/>
              <w:spacing w:before="0" w:beforeAutospacing="0" w:afterAutospacing="0"/>
              <w:ind w:left="0" w:right="0"/>
              <w:rPr>
                <w:rFonts w:hint="default"/>
                <w:color w:val="000000" w:themeColor="text1"/>
                <w14:textFill>
                  <w14:solidFill>
                    <w14:schemeClr w14:val="tx1"/>
                  </w14:solidFill>
                </w14:textFill>
              </w:rPr>
            </w:pPr>
            <w:r>
              <w:rPr>
                <w:rFonts w:hint="default"/>
                <w:b/>
                <w:color w:val="000000" w:themeColor="text1"/>
                <w14:textFill>
                  <w14:solidFill>
                    <w14:schemeClr w14:val="tx1"/>
                  </w14:solidFill>
                </w14:textFill>
              </w:rPr>
              <w:t>Agreement:</w:t>
            </w:r>
            <w:r>
              <w:rPr>
                <w:rFonts w:hint="default"/>
                <w:bCs/>
                <w:color w:val="000000" w:themeColor="text1"/>
                <w14:textFill>
                  <w14:solidFill>
                    <w14:schemeClr w14:val="tx1"/>
                  </w14:solidFill>
                </w14:textFill>
              </w:rPr>
              <w:t xml:space="preserve"> </w:t>
            </w:r>
            <w:r>
              <w:rPr>
                <w:rFonts w:hint="default"/>
                <w:color w:val="000000" w:themeColor="text1"/>
                <w14:textFill>
                  <w14:solidFill>
                    <w14:schemeClr w14:val="tx1"/>
                  </w14:solidFill>
                </w14:textFill>
              </w:rPr>
              <w:t>There is some impact to the specification on definitions, diagrams, and scope, but there would not be RF requirements work. Some differentiation between regenerative and transparent definition might be required.</w:t>
            </w:r>
          </w:p>
          <w:p>
            <w:pPr>
              <w:keepNext w:val="0"/>
              <w:keepLines w:val="0"/>
              <w:suppressLineNumbers w:val="0"/>
              <w:spacing w:before="0" w:beforeAutospacing="0" w:afterAutospacing="0"/>
              <w:ind w:left="0" w:right="0"/>
              <w:rPr>
                <w:rFonts w:hint="default"/>
                <w:b/>
                <w:color w:val="000000" w:themeColor="text1"/>
                <w:lang w:eastAsia="ko-KR"/>
                <w14:textFill>
                  <w14:solidFill>
                    <w14:schemeClr w14:val="tx1"/>
                  </w14:solidFill>
                </w14:textFill>
              </w:rPr>
            </w:pPr>
          </w:p>
          <w:p>
            <w:pPr>
              <w:keepNext w:val="0"/>
              <w:keepLines w:val="0"/>
              <w:suppressLineNumbers w:val="0"/>
              <w:spacing w:before="0" w:beforeAutospacing="0" w:afterAutospacing="0"/>
              <w:ind w:left="0" w:right="0"/>
              <w:rPr>
                <w:rFonts w:hint="default"/>
                <w:b/>
                <w:color w:val="000000" w:themeColor="text1"/>
                <w:lang w:eastAsia="ko-KR"/>
                <w14:textFill>
                  <w14:solidFill>
                    <w14:schemeClr w14:val="tx1"/>
                  </w14:solidFill>
                </w14:textFill>
              </w:rPr>
            </w:pPr>
            <w:r>
              <w:rPr>
                <w:rFonts w:hint="default"/>
                <w:b/>
                <w:color w:val="000000" w:themeColor="text1"/>
                <w:u w:val="single"/>
                <w:lang w:eastAsia="ko-KR"/>
                <w14:textFill>
                  <w14:solidFill>
                    <w14:schemeClr w14:val="tx1"/>
                  </w14:solidFill>
                </w14:textFill>
              </w:rPr>
              <w:t>Issue 1-2-3:</w:t>
            </w:r>
            <w:r>
              <w:rPr>
                <w:rFonts w:hint="default"/>
                <w:b/>
                <w:color w:val="000000" w:themeColor="text1"/>
                <w:lang w:eastAsia="ko-KR"/>
                <w14:textFill>
                  <w14:solidFill>
                    <w14:schemeClr w14:val="tx1"/>
                  </w14:solidFill>
                </w14:textFill>
              </w:rPr>
              <w:t xml:space="preserve"> </w:t>
            </w:r>
            <w:r>
              <w:rPr>
                <w:rFonts w:hint="default"/>
                <w:b/>
                <w:color w:val="000000" w:themeColor="text1"/>
                <w:lang w:eastAsia="zh-CN"/>
                <w14:textFill>
                  <w14:solidFill>
                    <w14:schemeClr w14:val="tx1"/>
                  </w14:solidFill>
                </w14:textFill>
              </w:rPr>
              <w:t>CU/DU split</w:t>
            </w:r>
          </w:p>
          <w:p>
            <w:pPr>
              <w:keepNext w:val="0"/>
              <w:keepLines w:val="0"/>
              <w:suppressLineNumbers w:val="0"/>
              <w:spacing w:before="0" w:beforeAutospacing="0" w:afterAutospacing="0"/>
              <w:ind w:left="0" w:right="0"/>
              <w:rPr>
                <w:rFonts w:hint="default"/>
                <w:color w:val="993300"/>
                <w:u w:val="single"/>
              </w:rPr>
            </w:pPr>
            <w:r>
              <w:rPr>
                <w:rFonts w:hint="default"/>
                <w:b/>
                <w:color w:val="000000" w:themeColor="text1"/>
                <w14:textFill>
                  <w14:solidFill>
                    <w14:schemeClr w14:val="tx1"/>
                  </w14:solidFill>
                </w14:textFill>
              </w:rPr>
              <w:t>Agreement:</w:t>
            </w:r>
            <w:r>
              <w:rPr>
                <w:rFonts w:hint="default"/>
                <w:bCs/>
                <w:color w:val="000000" w:themeColor="text1"/>
                <w14:textFill>
                  <w14:solidFill>
                    <w14:schemeClr w14:val="tx1"/>
                  </w14:solidFill>
                </w14:textFill>
              </w:rPr>
              <w:t xml:space="preserve"> For the time being, if feeder link is part of the SAN seen as a black box, is not needed to consider the CU/DU split, and it is not </w:t>
            </w:r>
            <w:r>
              <w:rPr>
                <w:rFonts w:hint="default"/>
                <w:color w:val="000000" w:themeColor="text1"/>
                <w14:textFill>
                  <w14:solidFill>
                    <w14:schemeClr w14:val="tx1"/>
                  </w14:solidFill>
                </w14:textFill>
              </w:rPr>
              <w:t>necessary for RAN4 to define any requirements between CU/DU. Moreover, the split is a topic for RAN3, and CU/DU split for NTN is not part of the current WID.</w:t>
            </w:r>
          </w:p>
          <w:p>
            <w:pPr>
              <w:keepNext w:val="0"/>
              <w:keepLines w:val="0"/>
              <w:suppressLineNumbers w:val="0"/>
              <w:spacing w:before="0" w:beforeAutospacing="0" w:afterAutospacing="0"/>
              <w:ind w:left="0" w:right="0"/>
              <w:rPr>
                <w:rFonts w:hint="default"/>
                <w:b/>
                <w:color w:val="000000" w:themeColor="text1"/>
                <w:lang w:eastAsia="ko-KR"/>
                <w14:textFill>
                  <w14:solidFill>
                    <w14:schemeClr w14:val="tx1"/>
                  </w14:solidFill>
                </w14:textFill>
              </w:rPr>
            </w:pPr>
          </w:p>
          <w:p>
            <w:pPr>
              <w:keepNext w:val="0"/>
              <w:keepLines w:val="0"/>
              <w:suppressLineNumbers w:val="0"/>
              <w:spacing w:before="0" w:beforeAutospacing="0" w:afterAutospacing="0"/>
              <w:ind w:left="0" w:right="0"/>
              <w:rPr>
                <w:rFonts w:hint="default"/>
                <w:b/>
                <w:bCs/>
                <w:i/>
                <w:color w:val="000000" w:themeColor="text1"/>
                <w:lang w:eastAsia="zh-CN"/>
                <w14:textFill>
                  <w14:solidFill>
                    <w14:schemeClr w14:val="tx1"/>
                  </w14:solidFill>
                </w14:textFill>
              </w:rPr>
            </w:pPr>
            <w:r>
              <w:rPr>
                <w:rFonts w:hint="default"/>
                <w:b/>
                <w:bCs/>
                <w:color w:val="000000" w:themeColor="text1"/>
                <w:lang w:eastAsia="zh-CN"/>
                <w14:textFill>
                  <w14:solidFill>
                    <w14:schemeClr w14:val="tx1"/>
                  </w14:solidFill>
                </w14:textFill>
              </w:rPr>
              <w:t>DL coverage enhancements for FR1-NTN or FR2-NTN</w:t>
            </w:r>
          </w:p>
          <w:p>
            <w:pPr>
              <w:keepNext w:val="0"/>
              <w:keepLines w:val="0"/>
              <w:suppressLineNumbers w:val="0"/>
              <w:spacing w:before="0" w:beforeAutospacing="0" w:afterAutospacing="0"/>
              <w:ind w:left="0" w:right="0"/>
              <w:rPr>
                <w:rFonts w:hint="default"/>
                <w:b/>
                <w:color w:val="000000" w:themeColor="text1"/>
                <w:lang w:eastAsia="zh-CN"/>
                <w14:textFill>
                  <w14:solidFill>
                    <w14:schemeClr w14:val="tx1"/>
                  </w14:solidFill>
                </w14:textFill>
              </w:rPr>
            </w:pPr>
            <w:r>
              <w:rPr>
                <w:rFonts w:hint="default"/>
                <w:b/>
                <w:color w:val="000000" w:themeColor="text1"/>
                <w:u w:val="single"/>
                <w:lang w:eastAsia="ko-KR"/>
                <w14:textFill>
                  <w14:solidFill>
                    <w14:schemeClr w14:val="tx1"/>
                  </w14:solidFill>
                </w14:textFill>
              </w:rPr>
              <w:t>Issue 1-3-1:</w:t>
            </w:r>
            <w:r>
              <w:rPr>
                <w:rFonts w:hint="default"/>
                <w:b/>
                <w:color w:val="000000" w:themeColor="text1"/>
                <w:lang w:eastAsia="ko-KR"/>
                <w14:textFill>
                  <w14:solidFill>
                    <w14:schemeClr w14:val="tx1"/>
                  </w14:solidFill>
                </w14:textFill>
              </w:rPr>
              <w:t xml:space="preserve"> </w:t>
            </w:r>
            <w:r>
              <w:rPr>
                <w:rFonts w:hint="default"/>
                <w:b/>
                <w:color w:val="000000" w:themeColor="text1"/>
                <w:lang w:eastAsia="zh-CN"/>
                <w14:textFill>
                  <w14:solidFill>
                    <w14:schemeClr w14:val="tx1"/>
                  </w14:solidFill>
                </w14:textFill>
              </w:rPr>
              <w:t>Cell DTX</w:t>
            </w:r>
          </w:p>
          <w:p>
            <w:pPr>
              <w:keepNext w:val="0"/>
              <w:keepLines w:val="0"/>
              <w:suppressLineNumbers w:val="0"/>
              <w:spacing w:before="0" w:beforeAutospacing="0" w:afterAutospacing="0"/>
              <w:ind w:left="0" w:right="0"/>
              <w:rPr>
                <w:rFonts w:hint="default"/>
                <w:b/>
                <w:color w:val="000000" w:themeColor="text1"/>
                <w:lang w:eastAsia="ko-KR"/>
                <w14:textFill>
                  <w14:solidFill>
                    <w14:schemeClr w14:val="tx1"/>
                  </w14:solidFill>
                </w14:textFill>
              </w:rPr>
            </w:pPr>
            <w:r>
              <w:rPr>
                <w:rFonts w:hint="default"/>
                <w:b/>
                <w:color w:val="000000" w:themeColor="text1"/>
                <w:u w:val="single"/>
                <w:lang w:eastAsia="ko-KR"/>
                <w14:textFill>
                  <w14:solidFill>
                    <w14:schemeClr w14:val="tx1"/>
                  </w14:solidFill>
                </w14:textFill>
              </w:rPr>
              <w:t>Issue 1-3-2:</w:t>
            </w:r>
            <w:r>
              <w:rPr>
                <w:rFonts w:hint="default"/>
                <w:b/>
                <w:color w:val="000000" w:themeColor="text1"/>
                <w:lang w:eastAsia="ko-KR"/>
                <w14:textFill>
                  <w14:solidFill>
                    <w14:schemeClr w14:val="tx1"/>
                  </w14:solidFill>
                </w14:textFill>
              </w:rPr>
              <w:t xml:space="preserve"> </w:t>
            </w:r>
            <w:r>
              <w:rPr>
                <w:rFonts w:hint="default"/>
                <w:b/>
                <w:color w:val="000000" w:themeColor="text1"/>
                <w:lang w:eastAsia="zh-CN"/>
                <w14:textFill>
                  <w14:solidFill>
                    <w14:schemeClr w14:val="tx1"/>
                  </w14:solidFill>
                </w14:textFill>
              </w:rPr>
              <w:t>RF requirements enhancements for spatial domain techniques</w:t>
            </w:r>
          </w:p>
          <w:p>
            <w:pPr>
              <w:keepNext w:val="0"/>
              <w:keepLines w:val="0"/>
              <w:suppressLineNumbers w:val="0"/>
              <w:spacing w:before="0" w:beforeAutospacing="0" w:afterAutospacing="0"/>
              <w:ind w:left="0" w:right="0"/>
              <w:rPr>
                <w:rFonts w:hint="default"/>
                <w:bCs/>
                <w:color w:val="000000" w:themeColor="text1"/>
                <w:lang w:eastAsia="ko-KR"/>
                <w14:textFill>
                  <w14:solidFill>
                    <w14:schemeClr w14:val="tx1"/>
                  </w14:solidFill>
                </w14:textFill>
              </w:rPr>
            </w:pPr>
            <w:r>
              <w:rPr>
                <w:rFonts w:hint="default"/>
                <w:b/>
                <w:color w:val="000000" w:themeColor="text1"/>
                <w:lang w:eastAsia="ko-KR"/>
                <w14:textFill>
                  <w14:solidFill>
                    <w14:schemeClr w14:val="tx1"/>
                  </w14:solidFill>
                </w14:textFill>
              </w:rPr>
              <w:t>Encourage companies</w:t>
            </w:r>
            <w:r>
              <w:rPr>
                <w:rFonts w:hint="default"/>
                <w:bCs/>
                <w:color w:val="000000" w:themeColor="text1"/>
                <w:lang w:eastAsia="ko-KR"/>
                <w14:textFill>
                  <w14:solidFill>
                    <w14:schemeClr w14:val="tx1"/>
                  </w14:solidFill>
                </w14:textFill>
              </w:rPr>
              <w:t xml:space="preserve"> to provide more inputs with beam switching delay and scenarios for deployment (switch pattern, RAN1 simulation assumption scenarios, etc.).</w:t>
            </w:r>
          </w:p>
          <w:p>
            <w:pPr>
              <w:keepNext w:val="0"/>
              <w:keepLines w:val="0"/>
              <w:suppressLineNumbers w:val="0"/>
              <w:spacing w:before="0" w:beforeAutospacing="0" w:afterAutospacing="0"/>
              <w:ind w:left="0" w:right="0"/>
              <w:rPr>
                <w:rFonts w:hint="default"/>
                <w:vertAlign w:val="baseline"/>
                <w:lang w:val="en-US" w:eastAsia="zh-CN"/>
              </w:rPr>
            </w:pPr>
            <w:r>
              <w:rPr>
                <w:rFonts w:hint="default"/>
                <w:bCs/>
                <w:color w:val="000000" w:themeColor="text1"/>
                <w:lang w:eastAsia="ko-KR"/>
                <w14:textFill>
                  <w14:solidFill>
                    <w14:schemeClr w14:val="tx1"/>
                  </w14:solidFill>
                </w14:textFill>
              </w:rPr>
              <w:t>Consider e.g. analog/digital FR2/FR1 implementation.</w:t>
            </w:r>
          </w:p>
        </w:tc>
      </w:tr>
    </w:tbl>
    <w:p>
      <w:pPr>
        <w:pStyle w:val="57"/>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R</w:t>
      </w:r>
      <w:r>
        <w:rPr>
          <w:rFonts w:hint="default" w:ascii="Arial" w:hAnsi="Arial" w:cs="Arial"/>
          <w:sz w:val="28"/>
          <w:szCs w:val="28"/>
          <w:lang w:val="en-US" w:eastAsia="zh-CN"/>
        </w:rPr>
        <w:t>egenerative payload</w:t>
      </w:r>
    </w:p>
    <w:p>
      <w:pPr>
        <w:tabs>
          <w:tab w:val="left" w:pos="2127"/>
        </w:tabs>
        <w:spacing w:after="0"/>
        <w:rPr>
          <w:rFonts w:hint="default"/>
          <w:lang w:val="en-US" w:eastAsia="zh-CN"/>
        </w:rPr>
      </w:pPr>
      <w:r>
        <w:rPr>
          <w:rFonts w:hint="eastAsia"/>
          <w:lang w:val="en-US" w:eastAsia="zh-CN"/>
        </w:rPr>
        <w:t>In Rel-17 and Rel-18, only transparent NTN payload was specified with follow definition and diagram captured in the specification TS 38.108. For the regenerative NTN node, the following definition and diagrams should be update as:</w:t>
      </w:r>
    </w:p>
    <w:p>
      <w:pPr>
        <w:tabs>
          <w:tab w:val="left" w:pos="2127"/>
        </w:tabs>
        <w:spacing w:after="0"/>
        <w:rPr>
          <w:rFonts w:hint="default"/>
          <w:b/>
          <w:bCs/>
          <w:lang w:val="en-US" w:eastAsia="zh-CN"/>
        </w:rPr>
      </w:pPr>
      <w:r>
        <w:rPr>
          <w:rFonts w:hint="eastAsia"/>
          <w:b/>
          <w:bCs/>
          <w:lang w:val="en-US" w:eastAsia="zh-CN"/>
        </w:rPr>
        <w:t>For transparent NTN payload:</w:t>
      </w:r>
    </w:p>
    <w:p>
      <w:pPr>
        <w:tabs>
          <w:tab w:val="left" w:pos="2448"/>
          <w:tab w:val="left" w:pos="9468"/>
        </w:tabs>
        <w:rPr>
          <w:rFonts w:hint="eastAsia"/>
          <w:color w:val="0000FF"/>
          <w:lang w:val="en-US" w:eastAsia="zh-CN"/>
        </w:rPr>
      </w:pPr>
      <w:r>
        <w:rPr>
          <w:b/>
          <w:bCs/>
        </w:rPr>
        <w:t>Satellite Access Node</w:t>
      </w:r>
      <w:r>
        <w:t xml:space="preserve">: node providing NR user plane and control plane protocol terminations towards NTN Satellite capable UE, and connected via the NG interface to the 5GC. </w:t>
      </w:r>
      <w:r>
        <w:rPr>
          <w:color w:val="0000FF"/>
        </w:rPr>
        <w:t>It encompass a transparent NTN payload on board a NTN platform, a gateway and gNB functions.</w:t>
      </w:r>
    </w:p>
    <w:p>
      <w:pPr>
        <w:pStyle w:val="47"/>
      </w:pPr>
      <w:r>
        <w:rPr>
          <w:rFonts w:ascii="Times New Roman" w:hAnsi="Times New Roman"/>
          <w:lang w:val="fr-FR" w:eastAsia="fr-FR"/>
        </w:rPr>
        <w:drawing>
          <wp:inline distT="0" distB="0" distL="0" distR="0">
            <wp:extent cx="4754880" cy="1983105"/>
            <wp:effectExtent l="0" t="0" r="7620" b="1714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pPr>
        <w:pStyle w:val="51"/>
      </w:pPr>
      <w:r>
        <w:t xml:space="preserve">Figure </w:t>
      </w:r>
      <w:r>
        <w:rPr>
          <w:rFonts w:hint="eastAsia"/>
          <w:lang w:eastAsia="zh-CN"/>
        </w:rPr>
        <w:t>4.3.1</w:t>
      </w:r>
      <w:r>
        <w:t xml:space="preserve">-1: Radiated and conducted reference points for </w:t>
      </w:r>
      <w:r>
        <w:rPr>
          <w:i/>
        </w:rPr>
        <w:t>SAN type 1-H</w:t>
      </w:r>
    </w:p>
    <w:p>
      <w:pPr>
        <w:pStyle w:val="47"/>
        <w:rPr>
          <w:lang w:eastAsia="zh-CN"/>
        </w:rPr>
      </w:pPr>
      <w:bookmarkStart w:id="5" w:name="_Hlk500328328"/>
      <w:r>
        <w:rPr>
          <w:lang w:val="fr-FR" w:eastAsia="fr-FR"/>
        </w:rPr>
        <w:drawing>
          <wp:inline distT="0" distB="0" distL="0" distR="0">
            <wp:extent cx="4503420" cy="1944370"/>
            <wp:effectExtent l="0" t="0" r="11430" b="1778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pPr>
        <w:pStyle w:val="51"/>
      </w:pPr>
      <w:r>
        <w:t>Figure 4.3.</w:t>
      </w:r>
      <w:r>
        <w:rPr>
          <w:rFonts w:hint="eastAsia"/>
          <w:lang w:eastAsia="zh-CN"/>
        </w:rPr>
        <w:t>2</w:t>
      </w:r>
      <w:r>
        <w:t xml:space="preserve">-1: Radiated reference points for </w:t>
      </w:r>
      <w:r>
        <w:rPr>
          <w:i/>
        </w:rPr>
        <w:t>SAN type 1-O</w:t>
      </w:r>
      <w:r>
        <w:t xml:space="preserve"> </w:t>
      </w:r>
    </w:p>
    <w:p>
      <w:pPr>
        <w:tabs>
          <w:tab w:val="left" w:pos="2127"/>
        </w:tabs>
        <w:spacing w:after="0"/>
        <w:rPr>
          <w:rFonts w:hint="default"/>
          <w:b/>
          <w:bCs/>
          <w:lang w:val="en-US" w:eastAsia="zh-CN"/>
        </w:rPr>
      </w:pPr>
      <w:r>
        <w:rPr>
          <w:rFonts w:hint="eastAsia"/>
          <w:b/>
          <w:bCs/>
          <w:lang w:val="en-US" w:eastAsia="zh-CN"/>
        </w:rPr>
        <w:t>For regenerative NTN payload:</w:t>
      </w:r>
    </w:p>
    <w:p>
      <w:pPr>
        <w:tabs>
          <w:tab w:val="left" w:pos="2448"/>
          <w:tab w:val="left" w:pos="9468"/>
        </w:tabs>
        <w:rPr>
          <w:rFonts w:hint="eastAsia"/>
          <w:color w:val="0000FF"/>
          <w:lang w:val="en-US" w:eastAsia="zh-CN"/>
        </w:rPr>
      </w:pPr>
      <w:r>
        <w:rPr>
          <w:rFonts w:hint="eastAsia"/>
          <w:b/>
          <w:bCs/>
          <w:lang w:val="en-US" w:eastAsia="zh-CN"/>
        </w:rPr>
        <w:t xml:space="preserve">Regenerative </w:t>
      </w:r>
      <w:r>
        <w:rPr>
          <w:b/>
          <w:bCs/>
        </w:rPr>
        <w:t>Satellite Access Node</w:t>
      </w:r>
      <w:r>
        <w:t xml:space="preserve">: node providing NR user plane and control plane protocol terminations towards NTN Satellite capable UE, and connected via the NG interface to the 5GC. </w:t>
      </w:r>
      <w:r>
        <w:rPr>
          <w:color w:val="0000FF"/>
        </w:rPr>
        <w:t xml:space="preserve">It encompass a </w:t>
      </w:r>
      <w:r>
        <w:rPr>
          <w:rFonts w:hint="eastAsia"/>
          <w:color w:val="0000FF"/>
          <w:lang w:val="en-US" w:eastAsia="zh-CN"/>
        </w:rPr>
        <w:t>regenerative</w:t>
      </w:r>
      <w:r>
        <w:rPr>
          <w:color w:val="0000FF"/>
        </w:rPr>
        <w:t xml:space="preserve"> NTN payload on board a NTN platform</w:t>
      </w:r>
      <w:r>
        <w:rPr>
          <w:rFonts w:hint="eastAsia"/>
          <w:color w:val="0000FF"/>
          <w:lang w:val="en-US" w:eastAsia="zh-CN"/>
        </w:rPr>
        <w:t>.</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w:t>
      </w:r>
      <w:r>
        <w:rPr>
          <w:rFonts w:hint="eastAsia" w:ascii="Arial" w:hAnsi="Arial" w:cs="Arial"/>
          <w:sz w:val="28"/>
          <w:szCs w:val="28"/>
          <w:lang w:val="en-US" w:eastAsia="zh-CN"/>
        </w:rPr>
        <w:t>DL coverage enhancements for FR1-NTN or FR2-NTN</w:t>
      </w:r>
    </w:p>
    <w:p>
      <w:pPr>
        <w:jc w:val="left"/>
        <w:rPr>
          <w:rFonts w:hint="eastAsia" w:eastAsiaTheme="minorEastAsia"/>
          <w:lang w:val="en-US" w:eastAsia="zh-CN"/>
        </w:rPr>
      </w:pPr>
      <w:r>
        <w:rPr>
          <w:rFonts w:hint="eastAsia" w:eastAsiaTheme="minorEastAsia"/>
          <w:lang w:val="en-US" w:eastAsia="zh-CN"/>
        </w:rPr>
        <w:t xml:space="preserve">For Cell DTX operation for FR1-NTN and FR2-NTN, some transition period might be needed. Currently FR1NTN and FR2-NTN is specified in FDD bands, therefore there are no ON-OFF and transition period requirement defined in the specification, however for the cell DTX functionality, the transition period should be considered. </w:t>
      </w:r>
    </w:p>
    <w:p>
      <w:pPr>
        <w:jc w:val="left"/>
        <w:rPr>
          <w:rFonts w:hint="eastAsia"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xml:space="preserve">: the transition period for cell DTX for FR1-NTN and FR2-NTN is needed. e.g. 10us for FR1-NTN and 3us for FR2-NTN. </w:t>
      </w:r>
    </w:p>
    <w:p>
      <w:pPr>
        <w:jc w:val="left"/>
        <w:rPr>
          <w:rFonts w:hint="eastAsia" w:eastAsiaTheme="minorEastAsia"/>
          <w:lang w:val="en-US" w:eastAsia="zh-CN"/>
        </w:rPr>
      </w:pPr>
      <w:r>
        <w:rPr>
          <w:rFonts w:hint="eastAsia" w:eastAsiaTheme="minorEastAsia"/>
          <w:lang w:val="en-US" w:eastAsia="zh-CN"/>
        </w:rPr>
        <w:t xml:space="preserve">For beam switching delay for FR1-NTN or FR2-NTN for beam hopping, from our understanding, beam switching delay for FR2-NTN could be around 100ns and FR1-NTN and FR2-NTN. </w:t>
      </w:r>
    </w:p>
    <w:p>
      <w:pPr>
        <w:jc w:val="left"/>
        <w:rPr>
          <w:rFonts w:hint="default" w:eastAsiaTheme="minorEastAsia"/>
          <w:lang w:val="en-US" w:eastAsia="zh-CN"/>
        </w:rPr>
      </w:pPr>
      <w:r>
        <w:rPr>
          <w:rFonts w:hint="eastAsia" w:eastAsiaTheme="minorEastAsia"/>
          <w:b/>
          <w:bCs/>
          <w:lang w:val="en-US" w:eastAsia="zh-CN"/>
        </w:rPr>
        <w:t>Proposal 3</w:t>
      </w:r>
      <w:r>
        <w:rPr>
          <w:rFonts w:hint="eastAsia" w:eastAsiaTheme="minorEastAsia"/>
          <w:lang w:val="en-US" w:eastAsia="zh-CN"/>
        </w:rPr>
        <w:t xml:space="preserve">: regarding beam switching delay for beam hopping, the beam switching delay would be around 100ns. </w:t>
      </w:r>
    </w:p>
    <w:bookmarkEnd w:id="1"/>
    <w:bookmarkEnd w:id="2"/>
    <w:bookmarkEnd w:id="3"/>
    <w:bookmarkEnd w:id="4"/>
    <w:bookmarkEnd w:id="5"/>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regenerative NTN SAN in Rel-19 and proposals are made as following: </w:t>
      </w:r>
    </w:p>
    <w:p>
      <w:pPr>
        <w:jc w:val="left"/>
        <w:rPr>
          <w:rFonts w:hint="default" w:eastAsiaTheme="minorEastAsia"/>
          <w:color w:val="auto"/>
          <w:lang w:val="en-US" w:eastAsia="zh-CN"/>
        </w:rPr>
      </w:pPr>
      <w:r>
        <w:rPr>
          <w:rFonts w:hint="eastAsia" w:eastAsiaTheme="minorEastAsia"/>
          <w:b/>
          <w:bCs/>
          <w:color w:val="auto"/>
          <w:lang w:val="en-US" w:eastAsia="zh-CN"/>
        </w:rPr>
        <w:t>Proposal 1</w:t>
      </w:r>
      <w:r>
        <w:rPr>
          <w:rFonts w:hint="eastAsia" w:eastAsiaTheme="minorEastAsia"/>
          <w:color w:val="auto"/>
          <w:lang w:val="en-US" w:eastAsia="zh-CN"/>
        </w:rPr>
        <w:t xml:space="preserve">: capture the following definition and diagrams in the TS 38.108 specification. </w:t>
      </w:r>
    </w:p>
    <w:p>
      <w:pPr>
        <w:tabs>
          <w:tab w:val="left" w:pos="2127"/>
        </w:tabs>
        <w:spacing w:after="0"/>
        <w:rPr>
          <w:rFonts w:hint="default"/>
          <w:b/>
          <w:bCs/>
          <w:color w:val="auto"/>
          <w:lang w:val="en-US" w:eastAsia="zh-CN"/>
        </w:rPr>
      </w:pPr>
      <w:r>
        <w:rPr>
          <w:rFonts w:hint="eastAsia"/>
          <w:b/>
          <w:bCs/>
          <w:color w:val="auto"/>
          <w:lang w:val="en-US" w:eastAsia="zh-CN"/>
        </w:rPr>
        <w:t>For regenerative NTN payload:</w:t>
      </w:r>
    </w:p>
    <w:p>
      <w:pPr>
        <w:tabs>
          <w:tab w:val="left" w:pos="2448"/>
          <w:tab w:val="left" w:pos="9468"/>
        </w:tabs>
        <w:rPr>
          <w:rFonts w:hint="eastAsia"/>
          <w:color w:val="auto"/>
          <w:lang w:val="en-US" w:eastAsia="zh-CN"/>
        </w:rPr>
      </w:pPr>
      <w:r>
        <w:rPr>
          <w:b/>
          <w:bCs/>
          <w:color w:val="auto"/>
        </w:rPr>
        <w:t>Satellite Access Node</w:t>
      </w:r>
      <w:r>
        <w:rPr>
          <w:color w:val="auto"/>
        </w:rPr>
        <w:t xml:space="preserve">: node providing NR user plane and control plane protocol terminations towards NTN Satellite capable UE, and connected via the NG interface to the 5GC. It encompass a </w:t>
      </w:r>
      <w:r>
        <w:rPr>
          <w:rFonts w:hint="eastAsia"/>
          <w:color w:val="auto"/>
          <w:lang w:val="en-US" w:eastAsia="zh-CN"/>
        </w:rPr>
        <w:t>regenerative</w:t>
      </w:r>
      <w:r>
        <w:rPr>
          <w:color w:val="auto"/>
        </w:rPr>
        <w:t xml:space="preserve"> NTN payload on board a NTN platform</w:t>
      </w:r>
      <w:r>
        <w:rPr>
          <w:rFonts w:hint="eastAsia"/>
          <w:color w:val="auto"/>
          <w:lang w:val="en-US" w:eastAsia="zh-CN"/>
        </w:rPr>
        <w:t>.</w:t>
      </w:r>
    </w:p>
    <w:p>
      <w:pPr>
        <w:jc w:val="left"/>
        <w:rPr>
          <w:rFonts w:hint="eastAsia" w:eastAsiaTheme="minorEastAsia"/>
          <w:color w:val="auto"/>
          <w:lang w:val="en-US" w:eastAsia="zh-CN"/>
        </w:rPr>
      </w:pPr>
      <w:r>
        <w:rPr>
          <w:rFonts w:hint="eastAsia" w:eastAsiaTheme="minorEastAsia"/>
          <w:b/>
          <w:bCs/>
          <w:color w:val="auto"/>
          <w:lang w:val="en-US" w:eastAsia="zh-CN"/>
        </w:rPr>
        <w:t>Proposal 2</w:t>
      </w:r>
      <w:r>
        <w:rPr>
          <w:rFonts w:hint="eastAsia" w:eastAsiaTheme="minorEastAsia"/>
          <w:color w:val="auto"/>
          <w:lang w:val="en-US" w:eastAsia="zh-CN"/>
        </w:rPr>
        <w:t xml:space="preserve">: the transition period for cell DTX for FR1-NTN and FR2-NTN is needed. e.g. 10us for FR1-NTN and 3us for FR2-NTN. </w:t>
      </w:r>
    </w:p>
    <w:p>
      <w:pPr>
        <w:jc w:val="left"/>
        <w:rPr>
          <w:rFonts w:hint="eastAsia" w:eastAsiaTheme="minorEastAsia"/>
          <w:color w:val="auto"/>
          <w:lang w:val="en-US" w:eastAsia="zh-CN"/>
        </w:rPr>
      </w:pPr>
      <w:r>
        <w:rPr>
          <w:rFonts w:hint="eastAsia" w:eastAsiaTheme="minorEastAsia"/>
          <w:b/>
          <w:bCs/>
          <w:color w:val="auto"/>
          <w:lang w:val="en-US" w:eastAsia="zh-CN"/>
        </w:rPr>
        <w:t>Proposal 3</w:t>
      </w:r>
      <w:r>
        <w:rPr>
          <w:rFonts w:hint="eastAsia" w:eastAsiaTheme="minorEastAsia"/>
          <w:color w:val="auto"/>
          <w:lang w:val="en-US" w:eastAsia="zh-CN"/>
        </w:rPr>
        <w:t xml:space="preserve">: regarding beam switching delay for beam hopping, the beam switching delay would be around 100ns. </w:t>
      </w:r>
    </w:p>
    <w:p>
      <w:pPr>
        <w:pStyle w:val="57"/>
        <w:tabs>
          <w:tab w:val="left" w:pos="567"/>
          <w:tab w:val="clear" w:pos="1985"/>
        </w:tabs>
        <w:adjustRightInd w:val="0"/>
        <w:ind w:left="510" w:hanging="510"/>
      </w:pPr>
      <w:r>
        <w:t>References</w:t>
      </w:r>
    </w:p>
    <w:p>
      <w:pPr>
        <w:pStyle w:val="55"/>
        <w:numPr>
          <w:ilvl w:val="0"/>
          <w:numId w:val="2"/>
        </w:numPr>
        <w:rPr>
          <w:rFonts w:hint="eastAsia" w:eastAsia="宋体"/>
          <w:sz w:val="20"/>
          <w:szCs w:val="20"/>
          <w:lang w:val="en-US" w:eastAsia="zh-CN"/>
        </w:rPr>
      </w:pPr>
      <w:r>
        <w:rPr>
          <w:rFonts w:hint="eastAsia" w:eastAsia="宋体"/>
          <w:sz w:val="20"/>
          <w:szCs w:val="20"/>
        </w:rPr>
        <w:t>RP-234078</w:t>
      </w:r>
      <w:r>
        <w:rPr>
          <w:rFonts w:hint="eastAsia" w:eastAsia="宋体"/>
          <w:sz w:val="20"/>
          <w:szCs w:val="20"/>
          <w:lang w:val="en-US" w:eastAsia="zh-CN"/>
        </w:rPr>
        <w:t>,New WID: Non-Terrestrial Networks (NTN) for NR Phase 3, Thales,CATT, Approved.</w:t>
      </w:r>
    </w:p>
    <w:p>
      <w:pPr>
        <w:pStyle w:val="55"/>
        <w:numPr>
          <w:ilvl w:val="0"/>
          <w:numId w:val="2"/>
        </w:numPr>
        <w:rPr>
          <w:rFonts w:hint="eastAsia"/>
          <w:sz w:val="20"/>
          <w:szCs w:val="20"/>
          <w:lang w:val="en-US" w:eastAsia="zh-CN"/>
        </w:rPr>
      </w:pPr>
      <w:r>
        <w:rPr>
          <w:rFonts w:hint="eastAsia" w:eastAsia="宋体"/>
          <w:sz w:val="20"/>
          <w:szCs w:val="20"/>
        </w:rPr>
        <w:t>R4-2406109</w:t>
      </w:r>
      <w:r>
        <w:rPr>
          <w:rFonts w:hint="eastAsia"/>
          <w:sz w:val="20"/>
          <w:szCs w:val="20"/>
          <w:lang w:val="en-US" w:eastAsia="zh-CN"/>
        </w:rPr>
        <w:t xml:space="preserve">, </w:t>
      </w:r>
      <w:r>
        <w:rPr>
          <w:rFonts w:hint="eastAsia" w:eastAsia="宋体"/>
          <w:sz w:val="20"/>
          <w:szCs w:val="20"/>
        </w:rPr>
        <w:t>Way Forward for [110bis][315] NR_NTN_Ph3</w:t>
      </w:r>
      <w:r>
        <w:rPr>
          <w:rFonts w:hint="eastAsia"/>
          <w:sz w:val="20"/>
          <w:szCs w:val="20"/>
          <w:lang w:val="en-US" w:eastAsia="zh-CN"/>
        </w:rPr>
        <w:t>, Thales. Approved.</w:t>
      </w:r>
    </w:p>
    <w:p>
      <w:pPr>
        <w:pStyle w:val="55"/>
        <w:numPr>
          <w:ilvl w:val="0"/>
          <w:numId w:val="0"/>
        </w:numPr>
        <w:rPr>
          <w:rFonts w:hint="eastAsia" w:eastAsia="宋体"/>
          <w:sz w:val="20"/>
          <w:szCs w:val="20"/>
        </w:rPr>
      </w:pP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016A"/>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9532D"/>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B2A2B"/>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D5A99"/>
    <w:rsid w:val="04FB4499"/>
    <w:rsid w:val="04FD09E6"/>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B5AB9"/>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05D73"/>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35283"/>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06DC0"/>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098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65CD8"/>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96719"/>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635B2"/>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07A1"/>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14658"/>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5473B"/>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C4414"/>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F7763"/>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BC650F"/>
    <w:rsid w:val="1DC254A8"/>
    <w:rsid w:val="1DC603E1"/>
    <w:rsid w:val="1DCA7C29"/>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315FD"/>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E249F"/>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7025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15F4"/>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57E1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75B9B"/>
    <w:rsid w:val="27DF1D24"/>
    <w:rsid w:val="27E30D7E"/>
    <w:rsid w:val="27E43C95"/>
    <w:rsid w:val="27F20EFC"/>
    <w:rsid w:val="27FB11A8"/>
    <w:rsid w:val="27FE4240"/>
    <w:rsid w:val="27FF2D7D"/>
    <w:rsid w:val="280008FF"/>
    <w:rsid w:val="2803518E"/>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2222"/>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3231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250F1"/>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4F3166"/>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D3493"/>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753B2"/>
    <w:rsid w:val="36D85209"/>
    <w:rsid w:val="36D934D3"/>
    <w:rsid w:val="36D94280"/>
    <w:rsid w:val="36DA1950"/>
    <w:rsid w:val="36DE2053"/>
    <w:rsid w:val="36E07ED3"/>
    <w:rsid w:val="36E222AF"/>
    <w:rsid w:val="36F03F0E"/>
    <w:rsid w:val="36F414F3"/>
    <w:rsid w:val="36F902E0"/>
    <w:rsid w:val="36F97769"/>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91F98"/>
    <w:rsid w:val="374D0B20"/>
    <w:rsid w:val="37557969"/>
    <w:rsid w:val="375D4473"/>
    <w:rsid w:val="37615F3C"/>
    <w:rsid w:val="37663E25"/>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62237"/>
    <w:rsid w:val="3A082ABE"/>
    <w:rsid w:val="3A0A6393"/>
    <w:rsid w:val="3A0E18F6"/>
    <w:rsid w:val="3A0E766B"/>
    <w:rsid w:val="3A181AC2"/>
    <w:rsid w:val="3A1A155D"/>
    <w:rsid w:val="3A1A5D0A"/>
    <w:rsid w:val="3A237175"/>
    <w:rsid w:val="3A264A9F"/>
    <w:rsid w:val="3A2B2AA6"/>
    <w:rsid w:val="3A2E67B0"/>
    <w:rsid w:val="3A37551F"/>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F6608"/>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4C91"/>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0524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7C4E5B"/>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01597"/>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3AD8"/>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67944"/>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D5A2B"/>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971AF"/>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A2A25"/>
    <w:rsid w:val="487C0397"/>
    <w:rsid w:val="48850976"/>
    <w:rsid w:val="488C5FA3"/>
    <w:rsid w:val="488D22FD"/>
    <w:rsid w:val="488D7D14"/>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C7259"/>
    <w:rsid w:val="48D25798"/>
    <w:rsid w:val="48DC218B"/>
    <w:rsid w:val="48EA0E66"/>
    <w:rsid w:val="48F04BA1"/>
    <w:rsid w:val="48F447F8"/>
    <w:rsid w:val="48F612E3"/>
    <w:rsid w:val="48FE11C0"/>
    <w:rsid w:val="48FE59FA"/>
    <w:rsid w:val="49046287"/>
    <w:rsid w:val="49075A63"/>
    <w:rsid w:val="490933FA"/>
    <w:rsid w:val="490A4D2F"/>
    <w:rsid w:val="490A64AF"/>
    <w:rsid w:val="491709CE"/>
    <w:rsid w:val="491B29EF"/>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5C708A"/>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76E09"/>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51CBC"/>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E95517"/>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535FC"/>
    <w:rsid w:val="50167359"/>
    <w:rsid w:val="50186BF6"/>
    <w:rsid w:val="50211B71"/>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853F2"/>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D23F25"/>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CB7850"/>
    <w:rsid w:val="51D42177"/>
    <w:rsid w:val="51D43598"/>
    <w:rsid w:val="51DA51E8"/>
    <w:rsid w:val="51DA5890"/>
    <w:rsid w:val="51E31C77"/>
    <w:rsid w:val="51E90CD5"/>
    <w:rsid w:val="51EE7B3E"/>
    <w:rsid w:val="51F51BD1"/>
    <w:rsid w:val="51F96848"/>
    <w:rsid w:val="51FB40B5"/>
    <w:rsid w:val="52063C95"/>
    <w:rsid w:val="52073487"/>
    <w:rsid w:val="52096D2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4C8"/>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85406"/>
    <w:rsid w:val="552D52C7"/>
    <w:rsid w:val="55397CF2"/>
    <w:rsid w:val="5546565D"/>
    <w:rsid w:val="554E0863"/>
    <w:rsid w:val="555737A6"/>
    <w:rsid w:val="55577AFF"/>
    <w:rsid w:val="55597711"/>
    <w:rsid w:val="55611FED"/>
    <w:rsid w:val="556C1CC4"/>
    <w:rsid w:val="55712540"/>
    <w:rsid w:val="55731953"/>
    <w:rsid w:val="55743D64"/>
    <w:rsid w:val="557453D9"/>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4C616E"/>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01E3E"/>
    <w:rsid w:val="588509DD"/>
    <w:rsid w:val="588D555E"/>
    <w:rsid w:val="58937684"/>
    <w:rsid w:val="58953B9F"/>
    <w:rsid w:val="58957A8C"/>
    <w:rsid w:val="589968A1"/>
    <w:rsid w:val="589C0BA1"/>
    <w:rsid w:val="589E1D6D"/>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A0607"/>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ED723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35B21"/>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129DD"/>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02CBB"/>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D0365"/>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91DE8"/>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81D61"/>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24E62"/>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6F03DC"/>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127B7"/>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A06E2"/>
    <w:rsid w:val="646C4EF1"/>
    <w:rsid w:val="646C4FB8"/>
    <w:rsid w:val="646D2F37"/>
    <w:rsid w:val="646E15A6"/>
    <w:rsid w:val="64706C6F"/>
    <w:rsid w:val="6471159B"/>
    <w:rsid w:val="647C6852"/>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76B40"/>
    <w:rsid w:val="6ABE4FFD"/>
    <w:rsid w:val="6AC91EBE"/>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668C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710E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F2189"/>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9C06B8"/>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11DB6"/>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54E55"/>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32740"/>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C5C96"/>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8048D"/>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44958"/>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2D57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character" w:customStyle="1" w:styleId="109">
    <w:name w:val="列表段落 字符"/>
    <w:basedOn w:val="27"/>
    <w:qFormat/>
    <w:uiPriority w:val="0"/>
    <w:rPr>
      <w:rFonts w:hint="default" w:ascii="Calibri" w:hAnsi="Calibri" w:eastAsia="Calibri" w:cs="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2024-05-13T15:36:34Z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